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AD5AA5">
        <w:rPr>
          <w:rFonts w:ascii="Arial" w:hAnsi="Arial" w:cs="Arial"/>
          <w:b/>
          <w:bCs/>
          <w:color w:val="FF0000"/>
          <w:sz w:val="28"/>
          <w:szCs w:val="28"/>
        </w:rPr>
        <w:t xml:space="preserve"> August</w:t>
      </w:r>
      <w:r w:rsidR="003A45C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682728792" w:edGrp="everyone" w:colFirst="0" w:colLast="0"/>
            <w:permStart w:id="624042340" w:edGrp="everyone" w:colFirst="1" w:colLast="1"/>
            <w:permStart w:id="766065368" w:edGrp="everyone" w:colFirst="2" w:colLast="2"/>
            <w:permStart w:id="653292539" w:edGrp="everyone" w:colFirst="3" w:colLast="3"/>
            <w:permStart w:id="1191015313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682728792"/>
      <w:permEnd w:id="624042340"/>
      <w:permEnd w:id="766065368"/>
      <w:permEnd w:id="653292539"/>
      <w:permEnd w:id="1191015313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456"/>
        <w:gridCol w:w="2492"/>
        <w:gridCol w:w="1852"/>
        <w:gridCol w:w="1894"/>
        <w:gridCol w:w="1219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F505C" w:rsidRDefault="00AF505C" w:rsidP="00AF505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Pr="00AF505C">
              <w:rPr>
                <w:rFonts w:ascii="Arial" w:hAnsi="Arial" w:cs="Arial"/>
                <w:b/>
                <w:bCs/>
                <w:color w:val="FF0000"/>
                <w:szCs w:val="20"/>
              </w:rPr>
              <w:t>DIABETES NON-INSULIN</w:t>
            </w:r>
          </w:p>
          <w:p w:rsidR="008C059A" w:rsidRPr="007A14B4" w:rsidRDefault="00AF505C" w:rsidP="00AF505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DoD P&amp;T Sub-Class: </w:t>
            </w:r>
            <w:r w:rsidRPr="00AF505C">
              <w:rPr>
                <w:rFonts w:ascii="Arial" w:hAnsi="Arial" w:cs="Arial"/>
                <w:b/>
                <w:bCs/>
                <w:color w:val="FF0000"/>
                <w:szCs w:val="20"/>
              </w:rPr>
              <w:t>SODIUM-GLUCOSE CO-TRANSPORTER 2 (SGL</w:t>
            </w:r>
            <w:r w:rsidR="00E877FF">
              <w:rPr>
                <w:rFonts w:ascii="Arial" w:hAnsi="Arial" w:cs="Arial"/>
                <w:b/>
                <w:bCs/>
                <w:color w:val="FF0000"/>
                <w:szCs w:val="20"/>
              </w:rPr>
              <w:t>T</w:t>
            </w:r>
            <w:r w:rsidRPr="00AF505C">
              <w:rPr>
                <w:rFonts w:ascii="Arial" w:hAnsi="Arial" w:cs="Arial"/>
                <w:b/>
                <w:bCs/>
                <w:color w:val="FF0000"/>
                <w:szCs w:val="20"/>
              </w:rPr>
              <w:t>2) INHIBITORS</w:t>
            </w:r>
          </w:p>
        </w:tc>
      </w:tr>
      <w:tr w:rsidR="00024EF6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24EF6" w:rsidRPr="00A677D1" w:rsidRDefault="00024EF6" w:rsidP="00856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Pr="00024EF6">
              <w:rPr>
                <w:rFonts w:ascii="Arial" w:hAnsi="Arial" w:cs="Arial"/>
                <w:bCs/>
                <w:sz w:val="20"/>
                <w:szCs w:val="20"/>
              </w:rPr>
              <w:t>Step therapy – Must try at least 3 different diabetes drug classes before using a SGLT2 inhibitor (Group 1)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(Group 2) AND (Group 3) – o</w:t>
            </w:r>
            <w:r w:rsidRPr="00024EF6">
              <w:rPr>
                <w:rFonts w:ascii="Arial" w:hAnsi="Arial" w:cs="Arial"/>
                <w:bCs/>
                <w:sz w:val="20"/>
                <w:szCs w:val="20"/>
              </w:rPr>
              <w:t xml:space="preserve">ne group must be metformin.  </w:t>
            </w:r>
            <w:r w:rsidR="00C70018" w:rsidRPr="00C70018">
              <w:rPr>
                <w:rFonts w:ascii="Arial" w:hAnsi="Arial" w:cs="Arial"/>
                <w:bCs/>
                <w:sz w:val="20"/>
                <w:szCs w:val="20"/>
              </w:rPr>
              <w:t>Existing fixed-dose combinations will follow the parent compound (e.g. branded SGLT2 combined with metformin will have same branded SGLT2 UF status).  PC = Parent Compound; FDC = Fixed Dose Combinations.</w:t>
            </w:r>
          </w:p>
        </w:tc>
      </w:tr>
      <w:tr w:rsidR="00024EF6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24EF6" w:rsidRPr="00A677D1" w:rsidRDefault="00024EF6" w:rsidP="00856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Pr="001B448D">
              <w:rPr>
                <w:rFonts w:ascii="Arial" w:hAnsi="Arial" w:cs="Arial"/>
                <w:b/>
                <w:i/>
                <w:sz w:val="20"/>
              </w:rPr>
              <w:t>No grandfathering:</w:t>
            </w:r>
            <w:r w:rsidRPr="001B448D">
              <w:rPr>
                <w:rFonts w:ascii="Arial" w:hAnsi="Arial" w:cs="Arial"/>
                <w:sz w:val="20"/>
              </w:rPr>
              <w:t xml:space="preserve"> a prior authorization process, would require all patients, regardless of past medication history to complete an adequate trial of the step-preferred agent(s) before a non-step-preferred agent is provided to a user.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 w:rsidR="005B1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024EF6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1175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1175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C70018" w:rsidRPr="00221945" w:rsidTr="00A37F7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18" w:rsidRDefault="00C70018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153505486" w:edGrp="everyone" w:colFirst="3" w:colLast="3"/>
            <w:permStart w:id="1991706263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C70018" w:rsidRPr="00221945" w:rsidRDefault="00C70018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4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154DNGLN1UFBS1X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18" w:rsidRPr="00221945" w:rsidRDefault="00C70018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Before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18" w:rsidRPr="00C70018" w:rsidRDefault="00C70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018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  <w:p w:rsidR="00C70018" w:rsidRPr="00C70018" w:rsidRDefault="00C70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018">
              <w:rPr>
                <w:rFonts w:ascii="Arial" w:hAnsi="Arial" w:cs="Arial"/>
                <w:b/>
                <w:sz w:val="20"/>
                <w:szCs w:val="20"/>
              </w:rPr>
              <w:t>(FDC+PC)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18" w:rsidRPr="00221945" w:rsidRDefault="00C70018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18" w:rsidRPr="00221945" w:rsidRDefault="00C70018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153505486"/>
      <w:permEnd w:id="1991706263"/>
      <w:tr w:rsidR="00C70018" w:rsidRPr="00221945" w:rsidTr="00A37F7B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70018" w:rsidRPr="00221945" w:rsidRDefault="00C70018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70018" w:rsidRPr="00221945" w:rsidRDefault="00C70018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70018" w:rsidRPr="00C70018" w:rsidRDefault="00C700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70018" w:rsidRPr="00221945" w:rsidRDefault="00C70018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018" w:rsidRPr="00221945" w:rsidTr="00A37F7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18" w:rsidRDefault="00C70018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450387083" w:edGrp="everyone" w:colFirst="3" w:colLast="3"/>
            <w:permStart w:id="521565275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C70018" w:rsidRPr="00221945" w:rsidRDefault="00C70018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4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154DNGLN0UFNS1M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18" w:rsidRPr="00221945" w:rsidRDefault="00C70018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No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18" w:rsidRPr="00C70018" w:rsidRDefault="00C70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018">
              <w:rPr>
                <w:rFonts w:ascii="Arial" w:hAnsi="Arial" w:cs="Arial"/>
                <w:b/>
                <w:sz w:val="20"/>
                <w:szCs w:val="20"/>
              </w:rPr>
              <w:t xml:space="preserve">1 or more </w:t>
            </w:r>
          </w:p>
          <w:p w:rsidR="00C70018" w:rsidRPr="00C70018" w:rsidRDefault="00C70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018">
              <w:rPr>
                <w:rFonts w:ascii="Arial" w:hAnsi="Arial" w:cs="Arial"/>
                <w:b/>
                <w:sz w:val="20"/>
                <w:szCs w:val="20"/>
              </w:rPr>
              <w:t>(FDC+PC)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18" w:rsidRPr="00221945" w:rsidRDefault="00C70018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18" w:rsidRPr="00221945" w:rsidRDefault="00C70018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450387083"/>
      <w:permEnd w:id="521565275"/>
      <w:tr w:rsidR="00935339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AD5AA5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</w:t>
      </w:r>
      <w:r w:rsidRPr="002A66AE">
        <w:rPr>
          <w:rFonts w:ascii="Arial" w:hAnsi="Arial" w:cs="Arial"/>
          <w:bCs/>
          <w:sz w:val="20"/>
        </w:rPr>
        <w:t>on 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900749479" w:edGrp="everyone" w:colFirst="0" w:colLast="0"/>
            <w:permStart w:id="1309291157" w:edGrp="everyone" w:colFirst="1" w:colLast="1"/>
            <w:permStart w:id="72553185" w:edGrp="everyone" w:colFirst="2" w:colLast="2"/>
            <w:permStart w:id="1013258973" w:edGrp="everyone" w:colFirst="3" w:colLast="3"/>
            <w:permStart w:id="567423713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900749479"/>
      <w:permEnd w:id="1309291157"/>
      <w:permEnd w:id="72553185"/>
      <w:permEnd w:id="1013258973"/>
      <w:permEnd w:id="567423713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1199"/>
        <w:gridCol w:w="1200"/>
        <w:gridCol w:w="1649"/>
        <w:gridCol w:w="1229"/>
        <w:gridCol w:w="1178"/>
        <w:gridCol w:w="1204"/>
        <w:gridCol w:w="1229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525C8" w:rsidRDefault="008525C8" w:rsidP="008525C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AF505C" w:rsidRPr="00AF505C">
              <w:rPr>
                <w:rFonts w:ascii="Arial" w:hAnsi="Arial" w:cs="Arial"/>
                <w:b/>
                <w:bCs/>
                <w:color w:val="FF0000"/>
                <w:szCs w:val="20"/>
              </w:rPr>
              <w:t>DIABETES NON-INSULIN</w:t>
            </w:r>
          </w:p>
          <w:p w:rsidR="00822885" w:rsidRPr="00822885" w:rsidRDefault="008525C8" w:rsidP="008525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 w:rsidR="00AF505C" w:rsidRPr="00AF505C">
              <w:rPr>
                <w:rFonts w:ascii="Arial" w:hAnsi="Arial" w:cs="Arial"/>
                <w:b/>
                <w:bCs/>
                <w:color w:val="FF0000"/>
                <w:szCs w:val="20"/>
              </w:rPr>
              <w:t>SODIUM-GLUCOSE CO-TRANSPORTER 2 (SGL</w:t>
            </w:r>
            <w:r w:rsidR="00E877FF">
              <w:rPr>
                <w:rFonts w:ascii="Arial" w:hAnsi="Arial" w:cs="Arial"/>
                <w:b/>
                <w:bCs/>
                <w:color w:val="FF0000"/>
                <w:szCs w:val="20"/>
              </w:rPr>
              <w:t>T</w:t>
            </w:r>
            <w:r w:rsidR="00AF505C" w:rsidRPr="00AF505C">
              <w:rPr>
                <w:rFonts w:ascii="Arial" w:hAnsi="Arial" w:cs="Arial"/>
                <w:b/>
                <w:bCs/>
                <w:color w:val="FF0000"/>
                <w:szCs w:val="20"/>
              </w:rPr>
              <w:t>2) INHIBITORS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6A4D3B" w:rsidP="00024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024EF6" w:rsidRPr="00024EF6">
              <w:rPr>
                <w:rFonts w:ascii="Arial" w:hAnsi="Arial" w:cs="Arial"/>
                <w:bCs/>
                <w:sz w:val="20"/>
                <w:szCs w:val="20"/>
              </w:rPr>
              <w:t>Step therapy – Must try at least 3 different diabetes drug classes before using a SGLT2 inhibitor (Group 1)</w:t>
            </w:r>
            <w:r w:rsidR="00024EF6">
              <w:rPr>
                <w:rFonts w:ascii="Arial" w:hAnsi="Arial" w:cs="Arial"/>
                <w:bCs/>
                <w:sz w:val="20"/>
                <w:szCs w:val="20"/>
              </w:rPr>
              <w:t xml:space="preserve"> AND (Group 2) AND (Group 3) – o</w:t>
            </w:r>
            <w:r w:rsidR="00024EF6" w:rsidRPr="00024EF6">
              <w:rPr>
                <w:rFonts w:ascii="Arial" w:hAnsi="Arial" w:cs="Arial"/>
                <w:bCs/>
                <w:sz w:val="20"/>
                <w:szCs w:val="20"/>
              </w:rPr>
              <w:t xml:space="preserve">ne group must be metformin.  </w:t>
            </w:r>
            <w:r w:rsidR="00C70018" w:rsidRPr="00C70018">
              <w:rPr>
                <w:rFonts w:ascii="Arial" w:hAnsi="Arial" w:cs="Arial"/>
                <w:bCs/>
                <w:sz w:val="20"/>
                <w:szCs w:val="20"/>
              </w:rPr>
              <w:t>Existing fixed-dose combinations will follow the parent compound (e.g. branded SGLT2 combined with metformin will have same branded SGLT2 UF status).  PC = Parent Compound; FDC = Fixed Dose Combinations.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68113B" w:rsidP="00024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024EF6" w:rsidRPr="001B448D">
              <w:rPr>
                <w:rFonts w:ascii="Arial" w:hAnsi="Arial" w:cs="Arial"/>
                <w:b/>
                <w:i/>
                <w:sz w:val="20"/>
              </w:rPr>
              <w:t>No grandfathering:</w:t>
            </w:r>
            <w:r w:rsidR="00024EF6" w:rsidRPr="001B448D">
              <w:rPr>
                <w:rFonts w:ascii="Arial" w:hAnsi="Arial" w:cs="Arial"/>
                <w:sz w:val="20"/>
              </w:rPr>
              <w:t xml:space="preserve"> a prior authorization process, would require all patients, regardless of past medication history to complete an adequate trial of the step-preferred agent(s) before a non-step-preferred agent is provided to a user.</w:t>
            </w:r>
          </w:p>
        </w:tc>
      </w:tr>
      <w:tr w:rsidR="009B4508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0018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024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378107367" w:edGrp="everyone" w:colFirst="3" w:colLast="3"/>
            <w:permStart w:id="1459385617" w:edGrp="everyone" w:colFirst="4" w:colLast="4"/>
            <w:permStart w:id="962024908" w:edGrp="everyone" w:colFirst="5" w:colLast="5"/>
            <w:permStart w:id="732590945" w:edGrp="everyone" w:colFirst="6" w:colLast="6"/>
            <w:permStart w:id="32262251" w:edGrp="everyone" w:colFirst="7" w:colLast="7"/>
            <w:r w:rsidRPr="00024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154DNGLN1T2BS1X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0018" w:rsidRPr="00822885" w:rsidRDefault="00C70018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&amp; Before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C70018" w:rsidRDefault="00C70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018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  <w:p w:rsidR="00C70018" w:rsidRPr="00C70018" w:rsidRDefault="00C70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018">
              <w:rPr>
                <w:rFonts w:ascii="Arial" w:hAnsi="Arial" w:cs="Arial"/>
                <w:b/>
                <w:sz w:val="20"/>
                <w:szCs w:val="20"/>
              </w:rPr>
              <w:t>(FDC+PC)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378107367"/>
      <w:permEnd w:id="1459385617"/>
      <w:permEnd w:id="962024908"/>
      <w:permEnd w:id="732590945"/>
      <w:permEnd w:id="32262251"/>
      <w:tr w:rsidR="00C70018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C70018" w:rsidRPr="00822885" w:rsidRDefault="00C70018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C70018" w:rsidRPr="00C70018" w:rsidRDefault="00C70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C70018" w:rsidRDefault="00C70018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C70018" w:rsidRDefault="00C70018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C70018" w:rsidRDefault="00C70018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C70018" w:rsidRDefault="00C70018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C70018" w:rsidRDefault="00C70018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C70018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024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3" w:colLast="7"/>
            <w:permStart w:id="1795905774" w:edGrp="everyone" w:colFirst="3" w:colLast="3"/>
            <w:permStart w:id="827934395" w:edGrp="everyone" w:colFirst="4" w:colLast="4"/>
            <w:permStart w:id="1348692427" w:edGrp="everyone" w:colFirst="5" w:colLast="5"/>
            <w:permStart w:id="898442913" w:edGrp="everyone" w:colFirst="6" w:colLast="6"/>
            <w:permStart w:id="1053694708" w:edGrp="everyone" w:colFirst="7" w:colLast="7"/>
            <w:r w:rsidRPr="00024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154DNGLN0T2NS1X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0018" w:rsidRPr="00822885" w:rsidRDefault="00C70018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C70018" w:rsidRDefault="00C70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018">
              <w:rPr>
                <w:rFonts w:ascii="Arial" w:hAnsi="Arial" w:cs="Arial"/>
                <w:b/>
                <w:sz w:val="20"/>
                <w:szCs w:val="20"/>
              </w:rPr>
              <w:t>1 or more</w:t>
            </w:r>
          </w:p>
          <w:p w:rsidR="00C70018" w:rsidRPr="00C70018" w:rsidRDefault="00C70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018">
              <w:rPr>
                <w:rFonts w:ascii="Arial" w:hAnsi="Arial" w:cs="Arial"/>
                <w:b/>
                <w:sz w:val="20"/>
                <w:szCs w:val="20"/>
              </w:rPr>
              <w:t>(FDC+PC)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18" w:rsidRPr="00822885" w:rsidRDefault="00C70018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bookmarkEnd w:id="0"/>
      <w:permEnd w:id="1795905774"/>
      <w:permEnd w:id="827934395"/>
      <w:permEnd w:id="1348692427"/>
      <w:permEnd w:id="898442913"/>
      <w:permEnd w:id="1053694708"/>
      <w:tr w:rsidR="009B4508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C059A" w:rsidRDefault="003A45CB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Default="00D74E98" w:rsidP="00D74E98">
      <w:pPr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E1" w:rsidRDefault="005801E1">
      <w:r>
        <w:separator/>
      </w:r>
    </w:p>
  </w:endnote>
  <w:endnote w:type="continuationSeparator" w:id="0">
    <w:p w:rsidR="005801E1" w:rsidRDefault="0058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424261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E1" w:rsidRDefault="005801E1">
      <w:r>
        <w:separator/>
      </w:r>
    </w:p>
  </w:footnote>
  <w:footnote w:type="continuationSeparator" w:id="0">
    <w:p w:rsidR="005801E1" w:rsidRDefault="0058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IJL5vZX1icZOeGTb3PBbtQhBy7g=" w:salt="qgayfftWCI6gvI4LbE+KE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2BB1"/>
    <w:rsid w:val="000149D4"/>
    <w:rsid w:val="0001685C"/>
    <w:rsid w:val="00020C72"/>
    <w:rsid w:val="00024EF6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17538"/>
    <w:rsid w:val="001339FD"/>
    <w:rsid w:val="00134F32"/>
    <w:rsid w:val="00135F85"/>
    <w:rsid w:val="0013633B"/>
    <w:rsid w:val="00142D75"/>
    <w:rsid w:val="00143E1C"/>
    <w:rsid w:val="001450A6"/>
    <w:rsid w:val="00145D1C"/>
    <w:rsid w:val="00154D6E"/>
    <w:rsid w:val="001553FD"/>
    <w:rsid w:val="00155D34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56BC"/>
    <w:rsid w:val="003F68EB"/>
    <w:rsid w:val="00401E1C"/>
    <w:rsid w:val="00412E6A"/>
    <w:rsid w:val="004230D6"/>
    <w:rsid w:val="00424261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7462E"/>
    <w:rsid w:val="0057502D"/>
    <w:rsid w:val="005771E6"/>
    <w:rsid w:val="00577E38"/>
    <w:rsid w:val="005801E1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A5C4A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3203"/>
    <w:rsid w:val="005F1293"/>
    <w:rsid w:val="005F3320"/>
    <w:rsid w:val="005F34AE"/>
    <w:rsid w:val="005F697E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420"/>
    <w:rsid w:val="00673B71"/>
    <w:rsid w:val="0068113B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719E"/>
    <w:rsid w:val="0087745A"/>
    <w:rsid w:val="00880036"/>
    <w:rsid w:val="008850A3"/>
    <w:rsid w:val="00886DAF"/>
    <w:rsid w:val="00887F0D"/>
    <w:rsid w:val="00891A4E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08"/>
    <w:rsid w:val="009B4577"/>
    <w:rsid w:val="009C03C9"/>
    <w:rsid w:val="009C530E"/>
    <w:rsid w:val="009C54E2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2622"/>
    <w:rsid w:val="00A145A7"/>
    <w:rsid w:val="00A16E20"/>
    <w:rsid w:val="00A2679F"/>
    <w:rsid w:val="00A26AD8"/>
    <w:rsid w:val="00A374B1"/>
    <w:rsid w:val="00A37F7B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4A14"/>
    <w:rsid w:val="00AD5AA5"/>
    <w:rsid w:val="00AD67F6"/>
    <w:rsid w:val="00AD731B"/>
    <w:rsid w:val="00AE07AD"/>
    <w:rsid w:val="00AE1697"/>
    <w:rsid w:val="00AE6572"/>
    <w:rsid w:val="00AF505C"/>
    <w:rsid w:val="00AF63B7"/>
    <w:rsid w:val="00B01C84"/>
    <w:rsid w:val="00B055C7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714A"/>
    <w:rsid w:val="00BB751B"/>
    <w:rsid w:val="00BC10FF"/>
    <w:rsid w:val="00BC3744"/>
    <w:rsid w:val="00BC55FA"/>
    <w:rsid w:val="00BD3ABE"/>
    <w:rsid w:val="00BD4589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018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877FF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2CB2-EEE2-4E09-BE4B-5690F884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710</Words>
  <Characters>3813</Characters>
  <Application>Microsoft Office Word</Application>
  <DocSecurity>8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8</cp:revision>
  <cp:lastPrinted>2010-05-26T21:24:00Z</cp:lastPrinted>
  <dcterms:created xsi:type="dcterms:W3CDTF">2015-04-23T15:35:00Z</dcterms:created>
  <dcterms:modified xsi:type="dcterms:W3CDTF">2015-05-19T18:07:00Z</dcterms:modified>
</cp:coreProperties>
</file>